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64"/>
        <w:gridCol w:w="5816"/>
      </w:tblGrid>
      <w:tr w:rsidR="0075071F" w:rsidTr="000F5E2B">
        <w:trPr>
          <w:trHeight w:val="2516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75071F" w:rsidRDefault="0075071F" w:rsidP="000F5E2B">
            <w:pPr>
              <w:pStyle w:val="af"/>
            </w:pP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Республикаһының  </w:t>
            </w:r>
            <w:proofErr w:type="spellStart"/>
            <w:r>
              <w:rPr>
                <w:sz w:val="22"/>
              </w:rPr>
              <w:t>Ишембай</w:t>
            </w:r>
            <w:proofErr w:type="spellEnd"/>
            <w:r>
              <w:rPr>
                <w:sz w:val="22"/>
              </w:rPr>
              <w:t xml:space="preserve">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  <w:proofErr w:type="spellStart"/>
            <w:r>
              <w:rPr>
                <w:sz w:val="22"/>
              </w:rPr>
              <w:t>Урман-Бишказа</w:t>
            </w:r>
            <w:proofErr w:type="spellEnd"/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Советы</w:t>
            </w:r>
          </w:p>
          <w:p w:rsidR="0075071F" w:rsidRDefault="0075071F" w:rsidP="000F5E2B">
            <w:pPr>
              <w:jc w:val="center"/>
              <w:rPr>
                <w:b/>
                <w:lang w:val="be-BY"/>
              </w:rPr>
            </w:pP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10(34794)74-2-74,факс 74-2-53,</w:t>
            </w:r>
          </w:p>
          <w:p w:rsidR="0075071F" w:rsidRDefault="0075071F" w:rsidP="000F5E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>
                <w:rPr>
                  <w:rStyle w:val="af1"/>
                  <w:b/>
                  <w:sz w:val="18"/>
                  <w:szCs w:val="18"/>
                  <w:lang w:val="en-US" w:eastAsia="ar-SA"/>
                </w:rPr>
                <w:t>urmanbishsp</w:t>
              </w:r>
              <w:r>
                <w:rPr>
                  <w:rStyle w:val="af1"/>
                  <w:b/>
                  <w:sz w:val="18"/>
                  <w:szCs w:val="18"/>
                  <w:lang w:eastAsia="ar-SA"/>
                </w:rPr>
                <w:t>@</w:t>
              </w:r>
              <w:r>
                <w:rPr>
                  <w:rStyle w:val="af1"/>
                  <w:b/>
                  <w:sz w:val="18"/>
                  <w:szCs w:val="18"/>
                  <w:lang w:val="en-US" w:eastAsia="ar-SA"/>
                </w:rPr>
                <w:t>ufamts</w:t>
              </w:r>
              <w:r>
                <w:rPr>
                  <w:rStyle w:val="af1"/>
                  <w:b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f1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75071F" w:rsidRDefault="0075071F" w:rsidP="000F5E2B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75071F" w:rsidRDefault="0075071F" w:rsidP="000F5E2B">
            <w:pPr>
              <w:pStyle w:val="af"/>
              <w:tabs>
                <w:tab w:val="left" w:pos="4166"/>
              </w:tabs>
            </w:pPr>
            <w:r>
              <w:rPr>
                <w:sz w:val="22"/>
              </w:rPr>
              <w:t xml:space="preserve">Совет сельского поселения  </w:t>
            </w:r>
            <w:proofErr w:type="spellStart"/>
            <w:r>
              <w:rPr>
                <w:sz w:val="22"/>
              </w:rPr>
              <w:t>Урман-Бишкадакский</w:t>
            </w:r>
            <w:proofErr w:type="spellEnd"/>
            <w:r>
              <w:rPr>
                <w:sz w:val="22"/>
              </w:rPr>
              <w:t xml:space="preserve"> сельсовет муниципального района Ишимбайский район</w:t>
            </w:r>
          </w:p>
          <w:p w:rsidR="0075071F" w:rsidRDefault="0075071F" w:rsidP="000F5E2B">
            <w:pPr>
              <w:pStyle w:val="af"/>
              <w:tabs>
                <w:tab w:val="left" w:pos="4166"/>
              </w:tabs>
            </w:pPr>
            <w:r>
              <w:rPr>
                <w:sz w:val="22"/>
              </w:rPr>
              <w:t>Республики Башкортостан</w:t>
            </w: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5071F" w:rsidRDefault="0075071F" w:rsidP="000F5E2B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10(34794)74-2-74,факс 74-2-53</w:t>
            </w:r>
          </w:p>
          <w:p w:rsidR="0075071F" w:rsidRDefault="0075071F" w:rsidP="000F5E2B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>
                <w:rPr>
                  <w:rStyle w:val="af1"/>
                  <w:b/>
                  <w:sz w:val="18"/>
                  <w:szCs w:val="18"/>
                  <w:lang w:val="en-US" w:eastAsia="ar-SA"/>
                </w:rPr>
                <w:t>urmanbishsp</w:t>
              </w:r>
              <w:r>
                <w:rPr>
                  <w:rStyle w:val="af1"/>
                  <w:b/>
                  <w:sz w:val="18"/>
                  <w:szCs w:val="18"/>
                  <w:lang w:eastAsia="ar-SA"/>
                </w:rPr>
                <w:t>@</w:t>
              </w:r>
              <w:r>
                <w:rPr>
                  <w:rStyle w:val="af1"/>
                  <w:b/>
                  <w:sz w:val="18"/>
                  <w:szCs w:val="18"/>
                  <w:lang w:val="en-US" w:eastAsia="ar-SA"/>
                </w:rPr>
                <w:t>ufamts</w:t>
              </w:r>
              <w:r>
                <w:rPr>
                  <w:rStyle w:val="af1"/>
                  <w:b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f1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75071F" w:rsidRDefault="0075071F" w:rsidP="000F5E2B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293408" w:rsidRDefault="0075071F" w:rsidP="0075071F">
      <w:pPr>
        <w:rPr>
          <w:b/>
          <w:caps/>
          <w:sz w:val="28"/>
          <w:szCs w:val="28"/>
          <w:lang w:val="be-BY"/>
        </w:rPr>
      </w:pPr>
      <w:r>
        <w:t xml:space="preserve">                       </w:t>
      </w:r>
      <w:r w:rsidR="00293408"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="00293408" w:rsidRPr="00C00A0A">
        <w:rPr>
          <w:b/>
          <w:caps/>
          <w:sz w:val="28"/>
          <w:szCs w:val="28"/>
          <w:lang w:val="be-BY"/>
        </w:rPr>
        <w:t>арар</w:t>
      </w:r>
      <w:r w:rsidR="00293408"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="00293408" w:rsidRPr="00C00A0A">
        <w:rPr>
          <w:b/>
          <w:sz w:val="28"/>
          <w:szCs w:val="28"/>
          <w:lang w:val="be-BY"/>
        </w:rPr>
        <w:t xml:space="preserve">                     </w:t>
      </w:r>
      <w:r w:rsidR="00293408" w:rsidRPr="00C00A0A">
        <w:rPr>
          <w:b/>
          <w:sz w:val="28"/>
          <w:szCs w:val="28"/>
        </w:rPr>
        <w:t xml:space="preserve">       </w:t>
      </w:r>
      <w:r w:rsidR="00293408" w:rsidRPr="00C00A0A">
        <w:rPr>
          <w:b/>
          <w:sz w:val="28"/>
          <w:szCs w:val="28"/>
          <w:lang w:val="be-BY"/>
        </w:rPr>
        <w:t xml:space="preserve">  </w:t>
      </w:r>
      <w:r w:rsidR="00293408" w:rsidRPr="00C00A0A">
        <w:rPr>
          <w:b/>
          <w:caps/>
          <w:sz w:val="28"/>
          <w:szCs w:val="28"/>
          <w:lang w:val="be-BY"/>
        </w:rPr>
        <w:t>решение</w:t>
      </w:r>
    </w:p>
    <w:p w:rsidR="00293408" w:rsidRDefault="00293408" w:rsidP="0029340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08" w:rsidRDefault="00293408" w:rsidP="00293408">
      <w:pPr>
        <w:pStyle w:val="Default"/>
        <w:jc w:val="both"/>
        <w:rPr>
          <w:szCs w:val="28"/>
        </w:rPr>
      </w:pPr>
      <w:r w:rsidRPr="00196507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 xml:space="preserve">порядке организации и проведения публичных слушаний в сельском поселении </w:t>
      </w:r>
      <w:proofErr w:type="spellStart"/>
      <w:r w:rsidR="0075071F">
        <w:rPr>
          <w:b/>
          <w:sz w:val="28"/>
          <w:szCs w:val="28"/>
        </w:rPr>
        <w:t>Урман-Бишкадакский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96507">
        <w:rPr>
          <w:b/>
          <w:sz w:val="28"/>
          <w:szCs w:val="28"/>
        </w:rPr>
        <w:t>муниципального района Ишимбайский район Республики Башкортостан</w:t>
      </w:r>
    </w:p>
    <w:p w:rsidR="00293408" w:rsidRPr="00661114" w:rsidRDefault="00293408" w:rsidP="00293408">
      <w:pPr>
        <w:pStyle w:val="ad"/>
        <w:spacing w:line="360" w:lineRule="auto"/>
        <w:ind w:firstLine="709"/>
        <w:rPr>
          <w:szCs w:val="28"/>
        </w:rPr>
      </w:pPr>
    </w:p>
    <w:p w:rsidR="00293408" w:rsidRDefault="00293408" w:rsidP="00293408">
      <w:pPr>
        <w:pStyle w:val="Default"/>
      </w:pPr>
    </w:p>
    <w:p w:rsidR="00FF3483" w:rsidRDefault="00293408" w:rsidP="00293408">
      <w:pPr>
        <w:pStyle w:val="ad"/>
        <w:spacing w:line="240" w:lineRule="auto"/>
        <w:ind w:firstLine="709"/>
        <w:rPr>
          <w:szCs w:val="28"/>
        </w:rPr>
      </w:pPr>
      <w:r>
        <w:t xml:space="preserve"> </w:t>
      </w:r>
      <w:r>
        <w:rPr>
          <w:szCs w:val="28"/>
        </w:rPr>
        <w:t>В соответствии с Федеральным законом от 06.10.2003</w:t>
      </w:r>
      <w:r w:rsidR="00FF3483">
        <w:rPr>
          <w:szCs w:val="28"/>
        </w:rPr>
        <w:t xml:space="preserve"> г.№131 «Об общих принципах местного самоуправления в Российской Федерации»</w:t>
      </w:r>
      <w:r>
        <w:rPr>
          <w:szCs w:val="28"/>
        </w:rPr>
        <w:t xml:space="preserve">, </w:t>
      </w:r>
      <w:r w:rsidR="00FF3483">
        <w:rPr>
          <w:szCs w:val="28"/>
        </w:rPr>
        <w:t>Уставом с</w:t>
      </w:r>
      <w:r w:rsidRPr="00B85C60">
        <w:rPr>
          <w:szCs w:val="28"/>
        </w:rPr>
        <w:t xml:space="preserve">ельского поселения </w:t>
      </w:r>
      <w:proofErr w:type="spellStart"/>
      <w:r w:rsidR="0075071F">
        <w:rPr>
          <w:szCs w:val="28"/>
        </w:rPr>
        <w:t>Урман-Бишкадакский</w:t>
      </w:r>
      <w:proofErr w:type="spellEnd"/>
      <w:r w:rsidRPr="00B85C60">
        <w:rPr>
          <w:szCs w:val="28"/>
        </w:rPr>
        <w:t xml:space="preserve"> сельсовет муниципального района Ишимбайски</w:t>
      </w:r>
      <w:r>
        <w:rPr>
          <w:szCs w:val="28"/>
        </w:rPr>
        <w:t>й район Республики Башкортостан</w:t>
      </w:r>
      <w:r w:rsidR="00FF3483">
        <w:rPr>
          <w:szCs w:val="28"/>
        </w:rPr>
        <w:t xml:space="preserve">, </w:t>
      </w:r>
      <w:r w:rsidR="00FF3483" w:rsidRPr="00B85C60">
        <w:rPr>
          <w:szCs w:val="28"/>
        </w:rPr>
        <w:t xml:space="preserve">Совет сельского поселения </w:t>
      </w:r>
      <w:proofErr w:type="spellStart"/>
      <w:r w:rsidR="0075071F">
        <w:rPr>
          <w:szCs w:val="28"/>
        </w:rPr>
        <w:t>Урман-Бишкадакский</w:t>
      </w:r>
      <w:proofErr w:type="spellEnd"/>
      <w:r w:rsidR="00FF3483" w:rsidRPr="00B85C60">
        <w:rPr>
          <w:szCs w:val="28"/>
        </w:rPr>
        <w:t xml:space="preserve"> сельсовет муниципального района Ишимбайски</w:t>
      </w:r>
      <w:r w:rsidR="00FF3483">
        <w:rPr>
          <w:szCs w:val="28"/>
        </w:rPr>
        <w:t>й район Республики Башкортостан</w:t>
      </w:r>
    </w:p>
    <w:p w:rsidR="00293408" w:rsidRDefault="00FF3483" w:rsidP="00293408">
      <w:pPr>
        <w:pStyle w:val="ad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Р Е Ш И Л</w:t>
      </w:r>
      <w:r w:rsidR="00293408">
        <w:rPr>
          <w:szCs w:val="28"/>
        </w:rPr>
        <w:t>:</w:t>
      </w: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</w:p>
    <w:p w:rsidR="00293408" w:rsidRPr="00293408" w:rsidRDefault="00293408" w:rsidP="00293408">
      <w:pPr>
        <w:pStyle w:val="ad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293408">
        <w:rPr>
          <w:szCs w:val="28"/>
        </w:rPr>
        <w:t xml:space="preserve">Утвердить Положение о порядке организации и проведения публичных слушаний в сельском поселении </w:t>
      </w:r>
      <w:proofErr w:type="spellStart"/>
      <w:r w:rsidR="0075071F">
        <w:rPr>
          <w:szCs w:val="28"/>
        </w:rPr>
        <w:t>Урман-Бишкадакский</w:t>
      </w:r>
      <w:proofErr w:type="spellEnd"/>
      <w:r w:rsidRPr="00293408">
        <w:rPr>
          <w:szCs w:val="28"/>
        </w:rPr>
        <w:t xml:space="preserve"> сельсовет муниципального района Ишимбайский район Республики Башкортостан</w:t>
      </w:r>
      <w:r w:rsidR="00FF3483">
        <w:rPr>
          <w:szCs w:val="28"/>
        </w:rPr>
        <w:t xml:space="preserve"> </w:t>
      </w:r>
      <w:bookmarkStart w:id="0" w:name="_GoBack"/>
      <w:bookmarkEnd w:id="0"/>
      <w:r w:rsidR="00FF3483">
        <w:rPr>
          <w:szCs w:val="28"/>
        </w:rPr>
        <w:t>(прилагается).</w:t>
      </w:r>
    </w:p>
    <w:p w:rsidR="00293408" w:rsidRPr="00196507" w:rsidRDefault="00293408" w:rsidP="00293408">
      <w:pPr>
        <w:pStyle w:val="ad"/>
        <w:spacing w:line="240" w:lineRule="auto"/>
        <w:ind w:firstLine="709"/>
        <w:rPr>
          <w:szCs w:val="28"/>
        </w:rPr>
      </w:pPr>
      <w:r w:rsidRPr="00661114">
        <w:rPr>
          <w:szCs w:val="28"/>
        </w:rPr>
        <w:t>2.</w:t>
      </w:r>
      <w:r>
        <w:rPr>
          <w:szCs w:val="28"/>
        </w:rPr>
        <w:t xml:space="preserve"> </w:t>
      </w:r>
      <w:r w:rsidRPr="00196507">
        <w:rPr>
          <w:szCs w:val="28"/>
        </w:rPr>
        <w:t xml:space="preserve">Обнародовать настоящее </w:t>
      </w:r>
      <w:r>
        <w:rPr>
          <w:szCs w:val="28"/>
        </w:rPr>
        <w:t>постановл</w:t>
      </w:r>
      <w:r w:rsidRPr="00196507">
        <w:rPr>
          <w:szCs w:val="28"/>
        </w:rPr>
        <w:t>ение на официальном сайте</w:t>
      </w:r>
      <w:r>
        <w:rPr>
          <w:szCs w:val="28"/>
        </w:rPr>
        <w:t xml:space="preserve"> администрации сельского поселения </w:t>
      </w:r>
      <w:proofErr w:type="spellStart"/>
      <w:r w:rsidR="0075071F">
        <w:rPr>
          <w:szCs w:val="28"/>
        </w:rPr>
        <w:t>Урман-Бишкадакский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r>
        <w:rPr>
          <w:szCs w:val="28"/>
        </w:rPr>
        <w:t xml:space="preserve">Ишимбайский район </w:t>
      </w:r>
      <w:r w:rsidRPr="00196507">
        <w:rPr>
          <w:szCs w:val="28"/>
        </w:rPr>
        <w:t xml:space="preserve">Республики Башкортостан. </w:t>
      </w: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196507">
        <w:rPr>
          <w:szCs w:val="28"/>
        </w:rPr>
        <w:t xml:space="preserve">. Контроль исполнения настоящего </w:t>
      </w:r>
      <w:r>
        <w:rPr>
          <w:szCs w:val="28"/>
        </w:rPr>
        <w:t>решения</w:t>
      </w:r>
      <w:r w:rsidRPr="00196507">
        <w:rPr>
          <w:szCs w:val="28"/>
        </w:rPr>
        <w:t xml:space="preserve"> возложить на </w:t>
      </w:r>
      <w:r w:rsidR="00FF3483">
        <w:rPr>
          <w:szCs w:val="28"/>
        </w:rPr>
        <w:t xml:space="preserve">постоянную комиссию Совета </w:t>
      </w:r>
      <w:r>
        <w:rPr>
          <w:szCs w:val="28"/>
        </w:rPr>
        <w:t xml:space="preserve">сельского поселения </w:t>
      </w:r>
      <w:proofErr w:type="spellStart"/>
      <w:r w:rsidR="0075071F">
        <w:rPr>
          <w:szCs w:val="28"/>
        </w:rPr>
        <w:t>Урман-Бишкадакский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r>
        <w:rPr>
          <w:szCs w:val="28"/>
        </w:rPr>
        <w:t xml:space="preserve">Ишимбайский район </w:t>
      </w:r>
      <w:r w:rsidRPr="00196507">
        <w:rPr>
          <w:szCs w:val="28"/>
        </w:rPr>
        <w:t>Республики Башкортостан</w:t>
      </w:r>
      <w:r w:rsidR="00FF3483">
        <w:rPr>
          <w:szCs w:val="28"/>
        </w:rPr>
        <w:t xml:space="preserve"> по социально-гуманитарным вопросам (председатель Гиниятуллин Ш.С.)</w:t>
      </w:r>
      <w:r w:rsidRPr="00196507">
        <w:rPr>
          <w:szCs w:val="28"/>
        </w:rPr>
        <w:t>.</w:t>
      </w: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</w:p>
    <w:tbl>
      <w:tblPr>
        <w:tblW w:w="15315" w:type="dxa"/>
        <w:tblLook w:val="0000"/>
      </w:tblPr>
      <w:tblGrid>
        <w:gridCol w:w="10008"/>
        <w:gridCol w:w="5307"/>
      </w:tblGrid>
      <w:tr w:rsidR="00293408" w:rsidRPr="00661114" w:rsidTr="00983B54">
        <w:tc>
          <w:tcPr>
            <w:tcW w:w="10008" w:type="dxa"/>
          </w:tcPr>
          <w:p w:rsidR="00293408" w:rsidRDefault="00293408" w:rsidP="00983B5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750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А.Т.Сафиуллин</w:t>
            </w:r>
          </w:p>
          <w:p w:rsidR="00293408" w:rsidRPr="00B85C60" w:rsidRDefault="00293408" w:rsidP="00983B5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293408" w:rsidRPr="00661114" w:rsidRDefault="00293408" w:rsidP="00983B54">
            <w:pPr>
              <w:spacing w:after="0"/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</w:tr>
      <w:tr w:rsidR="00293408" w:rsidRPr="00661114" w:rsidTr="00983B54">
        <w:tc>
          <w:tcPr>
            <w:tcW w:w="10008" w:type="dxa"/>
          </w:tcPr>
          <w:p w:rsidR="00293408" w:rsidRPr="00661114" w:rsidRDefault="00293408" w:rsidP="0098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293408" w:rsidRPr="00661114" w:rsidRDefault="00293408" w:rsidP="00983B54">
            <w:pPr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CA0BA1" w:rsidRPr="009B2F08" w:rsidRDefault="0075071F" w:rsidP="0075071F">
      <w:pPr>
        <w:shd w:val="clear" w:color="auto" w:fill="FFFFFF"/>
        <w:spacing w:after="0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CA0BA1" w:rsidRPr="009B2F08">
        <w:rPr>
          <w:rFonts w:ascii="Times New Roman" w:eastAsia="Times New Roman" w:hAnsi="Times New Roman" w:cs="Times New Roman"/>
        </w:rPr>
        <w:t>Утверждено</w:t>
      </w:r>
    </w:p>
    <w:p w:rsidR="0075071F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Pr="009B2F08">
        <w:rPr>
          <w:rFonts w:ascii="Times New Roman" w:eastAsia="Times New Roman" w:hAnsi="Times New Roman" w:cs="Times New Roman"/>
        </w:rPr>
        <w:t xml:space="preserve">решением </w:t>
      </w:r>
      <w:r w:rsidR="0075071F">
        <w:rPr>
          <w:rFonts w:ascii="Times New Roman" w:eastAsia="Times New Roman" w:hAnsi="Times New Roman" w:cs="Times New Roman"/>
        </w:rPr>
        <w:t>с</w:t>
      </w:r>
      <w:r w:rsidRPr="009B2F08">
        <w:rPr>
          <w:rFonts w:ascii="Times New Roman" w:eastAsia="Times New Roman" w:hAnsi="Times New Roman" w:cs="Times New Roman"/>
        </w:rPr>
        <w:t>овета</w:t>
      </w:r>
      <w:r>
        <w:rPr>
          <w:rFonts w:ascii="Times New Roman" w:eastAsia="Times New Roman" w:hAnsi="Times New Roman" w:cs="Times New Roman"/>
        </w:rPr>
        <w:t xml:space="preserve"> </w:t>
      </w:r>
      <w:r w:rsidRPr="009B2F08">
        <w:rPr>
          <w:rFonts w:ascii="Times New Roman" w:eastAsia="Times New Roman" w:hAnsi="Times New Roman" w:cs="Times New Roman"/>
        </w:rPr>
        <w:t xml:space="preserve">сельского </w:t>
      </w:r>
    </w:p>
    <w:p w:rsidR="00CA0BA1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9B2F08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="0075071F">
        <w:rPr>
          <w:rFonts w:ascii="Times New Roman" w:eastAsia="Times New Roman" w:hAnsi="Times New Roman" w:cs="Times New Roman"/>
        </w:rPr>
        <w:t>Урман-Бишкадакский</w:t>
      </w:r>
      <w:proofErr w:type="spellEnd"/>
    </w:p>
    <w:p w:rsidR="0075071F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9B2F08">
        <w:rPr>
          <w:rFonts w:ascii="Times New Roman" w:eastAsia="Times New Roman" w:hAnsi="Times New Roman" w:cs="Times New Roman"/>
        </w:rPr>
        <w:t xml:space="preserve"> сельсовет муниципального района</w:t>
      </w:r>
    </w:p>
    <w:p w:rsidR="00CA0BA1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9B2F08">
        <w:rPr>
          <w:rFonts w:ascii="Times New Roman" w:eastAsia="Times New Roman" w:hAnsi="Times New Roman" w:cs="Times New Roman"/>
        </w:rPr>
        <w:t xml:space="preserve"> Ишимбайский район</w:t>
      </w:r>
      <w:r>
        <w:rPr>
          <w:rFonts w:ascii="Times New Roman" w:eastAsia="Times New Roman" w:hAnsi="Times New Roman" w:cs="Times New Roman"/>
        </w:rPr>
        <w:t xml:space="preserve"> </w:t>
      </w:r>
    </w:p>
    <w:p w:rsidR="00CA0BA1" w:rsidRPr="009B2F08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9B2F08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840DE0" w:rsidRPr="00CA0BA1" w:rsidRDefault="00CA0BA1" w:rsidP="00CA0BA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0B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 xml:space="preserve">      о</w:t>
      </w:r>
      <w:r w:rsidRPr="00CA0BA1">
        <w:rPr>
          <w:rFonts w:ascii="Times New Roman" w:eastAsia="Times New Roman" w:hAnsi="Times New Roman" w:cs="Times New Roman"/>
          <w:highlight w:val="yellow"/>
        </w:rPr>
        <w:t>т _________№________</w:t>
      </w:r>
    </w:p>
    <w:p w:rsidR="00714F8B" w:rsidRDefault="00714F8B" w:rsidP="00F50EF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1" w:name="bookmark1"/>
      <w:r w:rsidRPr="00714F8B">
        <w:rPr>
          <w:b/>
        </w:rPr>
        <w:t xml:space="preserve">ПОЛОЖЕНИЕ </w:t>
      </w:r>
    </w:p>
    <w:p w:rsidR="00714F8B" w:rsidRPr="00714F8B" w:rsidRDefault="00714F8B" w:rsidP="00F50EF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2" w:name="bookmark2"/>
      <w:bookmarkEnd w:id="1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2"/>
      <w:r w:rsidRPr="00714F8B">
        <w:rPr>
          <w:b/>
        </w:rPr>
        <w:t xml:space="preserve">В </w:t>
      </w:r>
      <w:r w:rsidR="00CA0BA1" w:rsidRPr="00CA0BA1">
        <w:rPr>
          <w:b/>
        </w:rPr>
        <w:t xml:space="preserve">СЕЛЬСКОМ ПОСЕЛЕНИИ </w:t>
      </w:r>
      <w:r w:rsidR="0075071F">
        <w:rPr>
          <w:b/>
        </w:rPr>
        <w:t>УРМАН-БИШКАДАКСКИЙ</w:t>
      </w:r>
      <w:r w:rsidR="00CA0BA1" w:rsidRPr="00CA0BA1">
        <w:rPr>
          <w:b/>
        </w:rPr>
        <w:t xml:space="preserve"> СЕЛЬСОВЕТ МУНИЦИПАЛЬНОГО РАЙОНА ИШИМБАЙСКИЙ РАЙОН РЕСПУБЛИКИ БАШКОРТОСТАН</w:t>
      </w:r>
    </w:p>
    <w:p w:rsidR="00F45E02" w:rsidRPr="00840DE0" w:rsidRDefault="00F45E02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CA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0BA1" w:rsidRPr="00CA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по тексту - </w:t>
      </w:r>
      <w:r w:rsidR="00CA0BA1" w:rsidRP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0BA1" w:rsidRP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B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8432E0" w:rsidRDefault="007106E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75071F" w:rsidRDefault="0075071F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главы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исходить от группы граждан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внести депутаты,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постоянные и временные комиссии, фракции и депутатские группы представительного органа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направляться главе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5071F" w:rsidRDefault="0075071F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CCD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F50EF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D56F2D" w:rsidRPr="00D56F2D">
        <w:rPr>
          <w:color w:val="0D0D0D" w:themeColor="text1" w:themeTint="F2"/>
          <w:sz w:val="28"/>
          <w:szCs w:val="28"/>
        </w:rPr>
        <w:t>сельского поселения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7A3A3B" w:rsidRDefault="007A3A3B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публичных слушаний, назначенных главой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Представительный орган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представительный орган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главе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75071F" w:rsidRDefault="0075071F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(ые)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(ым)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учета предложений, замечаний и поправок, поступивших от жителей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277868" w:rsidRPr="00277868" w:rsidRDefault="00277868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1260BE" w:rsidRDefault="001260BE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75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392FB4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бюджета </w:t>
      </w:r>
      <w:r w:rsidR="00D56F2D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отчету об исполнении бюджета </w:t>
      </w:r>
      <w:r w:rsidR="00D56F2D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392FB4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D56F2D"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392FB4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Pr="00392FB4" w:rsidRDefault="00D56F2D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392FB4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5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</w:t>
      </w:r>
      <w:r w:rsidR="005971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сельских  поселений</w:t>
      </w: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разделения </w:t>
      </w:r>
      <w:r w:rsidR="005971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сельских  поселений</w:t>
      </w: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27A78" w:rsidRPr="00392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проектам изменений генерального плана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D56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AA" w:rsidRPr="00840DE0" w:rsidRDefault="008709AA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B" w:rsidRPr="00840DE0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9F" w:rsidRPr="00840DE0" w:rsidRDefault="00DA1F9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F5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3C6" w:rsidRPr="007053C6" w:rsidRDefault="007053C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D56F2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06" w:rsidRDefault="00FB6B06" w:rsidP="00350C19">
      <w:pPr>
        <w:spacing w:after="0" w:line="240" w:lineRule="auto"/>
      </w:pPr>
      <w:r>
        <w:separator/>
      </w:r>
    </w:p>
  </w:endnote>
  <w:endnote w:type="continuationSeparator" w:id="0">
    <w:p w:rsidR="00FB6B06" w:rsidRDefault="00FB6B06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3D" w:rsidRDefault="0059713D" w:rsidP="0059713D">
    <w:pPr>
      <w:pStyle w:val="a6"/>
      <w:tabs>
        <w:tab w:val="clear" w:pos="4677"/>
        <w:tab w:val="clear" w:pos="9355"/>
        <w:tab w:val="left" w:pos="17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06" w:rsidRDefault="00FB6B06" w:rsidP="00350C19">
      <w:pPr>
        <w:spacing w:after="0" w:line="240" w:lineRule="auto"/>
      </w:pPr>
      <w:r>
        <w:separator/>
      </w:r>
    </w:p>
  </w:footnote>
  <w:footnote w:type="continuationSeparator" w:id="0">
    <w:p w:rsidR="00FB6B06" w:rsidRDefault="00FB6B06" w:rsidP="00350C19">
      <w:pPr>
        <w:spacing w:after="0" w:line="240" w:lineRule="auto"/>
      </w:pPr>
      <w:r>
        <w:continuationSeparator/>
      </w:r>
    </w:p>
  </w:footnote>
  <w:footnote w:id="1">
    <w:p w:rsidR="005031C8" w:rsidRPr="0059713D" w:rsidRDefault="005031C8" w:rsidP="0059713D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4479F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71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53" w:rsidRDefault="00771953" w:rsidP="00771953">
    <w:pPr>
      <w:pStyle w:val="a4"/>
      <w:tabs>
        <w:tab w:val="clear" w:pos="4677"/>
        <w:tab w:val="clear" w:pos="9355"/>
        <w:tab w:val="left" w:pos="15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E0D5E"/>
    <w:rsid w:val="002068D2"/>
    <w:rsid w:val="00214DAE"/>
    <w:rsid w:val="00240942"/>
    <w:rsid w:val="00254442"/>
    <w:rsid w:val="002559FD"/>
    <w:rsid w:val="00270E63"/>
    <w:rsid w:val="00277868"/>
    <w:rsid w:val="00293408"/>
    <w:rsid w:val="002C46DD"/>
    <w:rsid w:val="002D7944"/>
    <w:rsid w:val="00322F7C"/>
    <w:rsid w:val="0034634F"/>
    <w:rsid w:val="00350C19"/>
    <w:rsid w:val="00374D8D"/>
    <w:rsid w:val="00392FB4"/>
    <w:rsid w:val="003937F4"/>
    <w:rsid w:val="0041387F"/>
    <w:rsid w:val="004479FD"/>
    <w:rsid w:val="004514D9"/>
    <w:rsid w:val="00470010"/>
    <w:rsid w:val="004909E1"/>
    <w:rsid w:val="004C2E3E"/>
    <w:rsid w:val="004D18DD"/>
    <w:rsid w:val="005031C8"/>
    <w:rsid w:val="00543987"/>
    <w:rsid w:val="00557964"/>
    <w:rsid w:val="0056554D"/>
    <w:rsid w:val="00573586"/>
    <w:rsid w:val="00586F1E"/>
    <w:rsid w:val="0059713D"/>
    <w:rsid w:val="005A28F2"/>
    <w:rsid w:val="00613766"/>
    <w:rsid w:val="00624DD0"/>
    <w:rsid w:val="00644A48"/>
    <w:rsid w:val="006459BC"/>
    <w:rsid w:val="0066716B"/>
    <w:rsid w:val="00667A0C"/>
    <w:rsid w:val="006C4E90"/>
    <w:rsid w:val="006E0F6A"/>
    <w:rsid w:val="006E1634"/>
    <w:rsid w:val="007053C6"/>
    <w:rsid w:val="007106EC"/>
    <w:rsid w:val="007108A4"/>
    <w:rsid w:val="00714F8B"/>
    <w:rsid w:val="00726140"/>
    <w:rsid w:val="00730275"/>
    <w:rsid w:val="00732FA8"/>
    <w:rsid w:val="007335C4"/>
    <w:rsid w:val="0075071F"/>
    <w:rsid w:val="00771953"/>
    <w:rsid w:val="007A3A3B"/>
    <w:rsid w:val="007E1E1B"/>
    <w:rsid w:val="007F6492"/>
    <w:rsid w:val="0080000B"/>
    <w:rsid w:val="00803B0E"/>
    <w:rsid w:val="008119D7"/>
    <w:rsid w:val="00840DE0"/>
    <w:rsid w:val="008432E0"/>
    <w:rsid w:val="008709AA"/>
    <w:rsid w:val="008A61A4"/>
    <w:rsid w:val="008C2148"/>
    <w:rsid w:val="008C3CCD"/>
    <w:rsid w:val="009034CD"/>
    <w:rsid w:val="009133CD"/>
    <w:rsid w:val="00925A35"/>
    <w:rsid w:val="00944119"/>
    <w:rsid w:val="00964ECA"/>
    <w:rsid w:val="009D67B7"/>
    <w:rsid w:val="009F2F3B"/>
    <w:rsid w:val="00A61F8A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A0BA1"/>
    <w:rsid w:val="00D05C3C"/>
    <w:rsid w:val="00D469CA"/>
    <w:rsid w:val="00D56F2D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D02B3"/>
    <w:rsid w:val="00F24B62"/>
    <w:rsid w:val="00F27A78"/>
    <w:rsid w:val="00F4319C"/>
    <w:rsid w:val="00F45E02"/>
    <w:rsid w:val="00F50EF9"/>
    <w:rsid w:val="00F6517A"/>
    <w:rsid w:val="00F656F1"/>
    <w:rsid w:val="00F835F8"/>
    <w:rsid w:val="00FB6B06"/>
    <w:rsid w:val="00FB7F80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ody Text Indent"/>
    <w:basedOn w:val="a"/>
    <w:link w:val="ae"/>
    <w:rsid w:val="00293408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9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93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750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5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50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manbishsp@ufamt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40B2-6CA5-4902-A341-C1D04766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Ибрагимова</cp:lastModifiedBy>
  <cp:revision>3</cp:revision>
  <cp:lastPrinted>2017-04-14T11:01:00Z</cp:lastPrinted>
  <dcterms:created xsi:type="dcterms:W3CDTF">2018-12-05T11:38:00Z</dcterms:created>
  <dcterms:modified xsi:type="dcterms:W3CDTF">2018-12-05T11:48:00Z</dcterms:modified>
</cp:coreProperties>
</file>